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AA" w:rsidRPr="002F6B79" w:rsidRDefault="00CE2E39" w:rsidP="000A3550">
      <w:pPr>
        <w:rPr>
          <w:rFonts w:ascii="Open Sans" w:hAnsi="Open Sans" w:cs="Open Sans"/>
          <w:b/>
          <w:color w:val="333333"/>
          <w:sz w:val="24"/>
          <w:szCs w:val="24"/>
          <w:shd w:val="clear" w:color="auto" w:fill="FFFFFF"/>
        </w:rPr>
      </w:pPr>
      <w:r w:rsidRPr="002F6B79">
        <w:rPr>
          <w:rFonts w:ascii="Open Sans" w:hAnsi="Open Sans" w:cs="Open Sans"/>
          <w:b/>
          <w:color w:val="333333"/>
          <w:sz w:val="24"/>
          <w:szCs w:val="24"/>
          <w:shd w:val="clear" w:color="auto" w:fill="FFFFFF"/>
        </w:rPr>
        <w:t>Онлайн-обслуживание в ЛКА. Краткая инструкция.</w:t>
      </w:r>
    </w:p>
    <w:p w:rsidR="000A3550" w:rsidRDefault="000A3550" w:rsidP="000A3550">
      <w:pPr>
        <w:rPr>
          <w:rFonts w:ascii="Open Sans" w:hAnsi="Open Sans" w:cs="Open Sans"/>
          <w:b/>
          <w:color w:val="333333"/>
          <w:shd w:val="clear" w:color="auto" w:fill="FFFFFF"/>
        </w:rPr>
      </w:pPr>
    </w:p>
    <w:p w:rsidR="009A20CD" w:rsidRPr="009E34A6" w:rsidRDefault="009A20CD" w:rsidP="000A3550">
      <w:pPr>
        <w:pStyle w:val="a3"/>
        <w:numPr>
          <w:ilvl w:val="0"/>
          <w:numId w:val="6"/>
        </w:numPr>
        <w:rPr>
          <w:rFonts w:ascii="Open Sans" w:hAnsi="Open Sans" w:cs="Open Sans"/>
          <w:b/>
          <w:i/>
          <w:color w:val="333333"/>
          <w:shd w:val="clear" w:color="auto" w:fill="FFFFFF"/>
        </w:rPr>
      </w:pPr>
      <w:r w:rsidRPr="009E34A6">
        <w:rPr>
          <w:rFonts w:ascii="Open Sans" w:hAnsi="Open Sans" w:cs="Open Sans"/>
          <w:b/>
          <w:i/>
          <w:color w:val="333333"/>
          <w:shd w:val="clear" w:color="auto" w:fill="FFFFFF"/>
        </w:rPr>
        <w:t>Где это находится в ЛКА?</w:t>
      </w:r>
    </w:p>
    <w:p w:rsidR="000A3550" w:rsidRPr="002B4993" w:rsidRDefault="009A20CD" w:rsidP="009A20CD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Р</w:t>
      </w:r>
      <w:r w:rsidR="000A3550" w:rsidRPr="002B4993">
        <w:rPr>
          <w:rFonts w:ascii="Open Sans" w:hAnsi="Open Sans" w:cs="Open Sans"/>
          <w:color w:val="333333"/>
          <w:shd w:val="clear" w:color="auto" w:fill="FFFFFF"/>
        </w:rPr>
        <w:t>аздел «Запросы» главного меню</w:t>
      </w:r>
      <w:r w:rsidR="002B4993" w:rsidRPr="002B4993">
        <w:rPr>
          <w:rFonts w:ascii="Open Sans" w:hAnsi="Open Sans" w:cs="Open Sans"/>
          <w:color w:val="333333"/>
          <w:shd w:val="clear" w:color="auto" w:fill="FFFFFF"/>
        </w:rPr>
        <w:t xml:space="preserve">. </w:t>
      </w:r>
      <w:r>
        <w:rPr>
          <w:rFonts w:ascii="Open Sans" w:hAnsi="Open Sans" w:cs="Open Sans"/>
          <w:color w:val="333333"/>
          <w:shd w:val="clear" w:color="auto" w:fill="FFFFFF"/>
        </w:rPr>
        <w:t>В</w:t>
      </w:r>
      <w:r w:rsidR="002B4993" w:rsidRPr="002B4993">
        <w:rPr>
          <w:rFonts w:ascii="Open Sans" w:hAnsi="Open Sans" w:cs="Open Sans"/>
          <w:color w:val="333333"/>
          <w:shd w:val="clear" w:color="auto" w:fill="FFFFFF"/>
        </w:rPr>
        <w:t xml:space="preserve"> выпадающем списке </w:t>
      </w:r>
      <w:r w:rsidR="00E76A76">
        <w:rPr>
          <w:rFonts w:ascii="Open Sans" w:hAnsi="Open Sans" w:cs="Open Sans"/>
          <w:color w:val="333333"/>
          <w:shd w:val="clear" w:color="auto" w:fill="FFFFFF"/>
        </w:rPr>
        <w:t>нужно выбрать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proofErr w:type="gramStart"/>
      <w:r w:rsidR="002B4993" w:rsidRPr="002B4993">
        <w:rPr>
          <w:rFonts w:ascii="Open Sans" w:hAnsi="Open Sans" w:cs="Open Sans"/>
          <w:color w:val="333333"/>
          <w:shd w:val="clear" w:color="auto" w:fill="FFFFFF"/>
        </w:rPr>
        <w:t>выбрат</w:t>
      </w:r>
      <w:r>
        <w:rPr>
          <w:rFonts w:ascii="Open Sans" w:hAnsi="Open Sans" w:cs="Open Sans"/>
          <w:color w:val="333333"/>
          <w:shd w:val="clear" w:color="auto" w:fill="FFFFFF"/>
        </w:rPr>
        <w:t>ь</w:t>
      </w:r>
      <w:proofErr w:type="gramEnd"/>
      <w:r w:rsidR="002B4993" w:rsidRPr="002B4993">
        <w:rPr>
          <w:rFonts w:ascii="Open Sans" w:hAnsi="Open Sans" w:cs="Open Sans"/>
          <w:color w:val="333333"/>
          <w:shd w:val="clear" w:color="auto" w:fill="FFFFFF"/>
        </w:rPr>
        <w:t xml:space="preserve"> требуемый тип Поручения:</w:t>
      </w:r>
    </w:p>
    <w:p w:rsidR="002B4993" w:rsidRPr="002B4993" w:rsidRDefault="002B4993" w:rsidP="002B4993">
      <w:pPr>
        <w:pStyle w:val="a3"/>
        <w:numPr>
          <w:ilvl w:val="0"/>
          <w:numId w:val="7"/>
        </w:numPr>
        <w:rPr>
          <w:rFonts w:ascii="Open Sans" w:hAnsi="Open Sans" w:cs="Open Sans"/>
          <w:color w:val="333333"/>
          <w:shd w:val="clear" w:color="auto" w:fill="FFFFFF"/>
        </w:rPr>
      </w:pPr>
      <w:r w:rsidRPr="002B4993">
        <w:rPr>
          <w:rFonts w:ascii="Open Sans" w:hAnsi="Open Sans" w:cs="Open Sans"/>
          <w:color w:val="333333"/>
          <w:shd w:val="clear" w:color="auto" w:fill="FFFFFF"/>
        </w:rPr>
        <w:t xml:space="preserve">открытие лицевого счета </w:t>
      </w:r>
    </w:p>
    <w:p w:rsidR="002B4993" w:rsidRPr="002B4993" w:rsidRDefault="002B4993" w:rsidP="002B4993">
      <w:pPr>
        <w:pStyle w:val="a3"/>
        <w:numPr>
          <w:ilvl w:val="0"/>
          <w:numId w:val="7"/>
        </w:numPr>
        <w:rPr>
          <w:rFonts w:ascii="Open Sans" w:hAnsi="Open Sans" w:cs="Open Sans"/>
          <w:color w:val="333333"/>
          <w:shd w:val="clear" w:color="auto" w:fill="FFFFFF"/>
        </w:rPr>
      </w:pPr>
      <w:r w:rsidRPr="002B4993">
        <w:rPr>
          <w:rFonts w:ascii="Open Sans" w:hAnsi="Open Sans" w:cs="Open Sans"/>
          <w:color w:val="333333"/>
          <w:shd w:val="clear" w:color="auto" w:fill="FFFFFF"/>
        </w:rPr>
        <w:t xml:space="preserve">изменение реквизитов лицевого счета, </w:t>
      </w:r>
    </w:p>
    <w:p w:rsidR="002B4993" w:rsidRPr="002B4993" w:rsidRDefault="002B4993" w:rsidP="002B4993">
      <w:pPr>
        <w:pStyle w:val="a3"/>
        <w:numPr>
          <w:ilvl w:val="0"/>
          <w:numId w:val="7"/>
        </w:numPr>
        <w:rPr>
          <w:rFonts w:ascii="Open Sans" w:hAnsi="Open Sans" w:cs="Open Sans"/>
          <w:color w:val="333333"/>
          <w:shd w:val="clear" w:color="auto" w:fill="FFFFFF"/>
        </w:rPr>
      </w:pPr>
      <w:r w:rsidRPr="002B4993">
        <w:rPr>
          <w:rFonts w:ascii="Open Sans" w:hAnsi="Open Sans" w:cs="Open Sans"/>
          <w:color w:val="333333"/>
          <w:shd w:val="clear" w:color="auto" w:fill="FFFFFF"/>
        </w:rPr>
        <w:t xml:space="preserve">списание акций, </w:t>
      </w:r>
    </w:p>
    <w:p w:rsidR="002B4993" w:rsidRPr="002B4993" w:rsidRDefault="002B4993" w:rsidP="002B4993">
      <w:pPr>
        <w:pStyle w:val="a3"/>
        <w:numPr>
          <w:ilvl w:val="0"/>
          <w:numId w:val="7"/>
        </w:numPr>
      </w:pPr>
      <w:r w:rsidRPr="002B4993">
        <w:rPr>
          <w:rFonts w:ascii="Open Sans" w:hAnsi="Open Sans" w:cs="Open Sans"/>
          <w:color w:val="333333"/>
          <w:shd w:val="clear" w:color="auto" w:fill="FFFFFF"/>
        </w:rPr>
        <w:t>выкуп и приобретение акций</w:t>
      </w:r>
      <w:r>
        <w:rPr>
          <w:rFonts w:ascii="Open Sans" w:hAnsi="Open Sans" w:cs="Open Sans"/>
          <w:color w:val="333333"/>
          <w:shd w:val="clear" w:color="auto" w:fill="FFFFFF"/>
        </w:rPr>
        <w:t>.</w:t>
      </w:r>
    </w:p>
    <w:p w:rsidR="002B4993" w:rsidRPr="002B4993" w:rsidRDefault="002B4993" w:rsidP="002B4993">
      <w:pPr>
        <w:pStyle w:val="a3"/>
        <w:rPr>
          <w:rFonts w:ascii="Open Sans" w:hAnsi="Open Sans" w:cs="Open Sans"/>
          <w:color w:val="333333"/>
          <w:shd w:val="clear" w:color="auto" w:fill="FFFFFF"/>
        </w:rPr>
      </w:pPr>
    </w:p>
    <w:p w:rsidR="009E34A6" w:rsidRPr="009E34A6" w:rsidRDefault="009E34A6" w:rsidP="000A3550">
      <w:pPr>
        <w:pStyle w:val="a3"/>
        <w:numPr>
          <w:ilvl w:val="0"/>
          <w:numId w:val="6"/>
        </w:numPr>
        <w:rPr>
          <w:rFonts w:ascii="Open Sans" w:hAnsi="Open Sans" w:cs="Open Sans"/>
          <w:b/>
          <w:i/>
          <w:color w:val="333333"/>
          <w:shd w:val="clear" w:color="auto" w:fill="FFFFFF"/>
        </w:rPr>
      </w:pPr>
      <w:r w:rsidRPr="009E34A6">
        <w:rPr>
          <w:rFonts w:ascii="Open Sans" w:hAnsi="Open Sans" w:cs="Open Sans"/>
          <w:b/>
          <w:i/>
          <w:color w:val="333333"/>
          <w:shd w:val="clear" w:color="auto" w:fill="FFFFFF"/>
        </w:rPr>
        <w:t>Дополнительная аутентификация.</w:t>
      </w:r>
    </w:p>
    <w:p w:rsidR="00E36FB9" w:rsidRDefault="000A3550" w:rsidP="009E34A6">
      <w:pPr>
        <w:pStyle w:val="a3"/>
        <w:numPr>
          <w:ilvl w:val="1"/>
          <w:numId w:val="6"/>
        </w:numPr>
        <w:rPr>
          <w:rFonts w:ascii="Open Sans" w:hAnsi="Open Sans" w:cs="Open Sans"/>
          <w:color w:val="333333"/>
          <w:shd w:val="clear" w:color="auto" w:fill="FFFFFF"/>
        </w:rPr>
      </w:pPr>
      <w:r w:rsidRPr="009E34A6">
        <w:rPr>
          <w:rFonts w:ascii="Open Sans" w:hAnsi="Open Sans" w:cs="Open Sans"/>
          <w:color w:val="333333"/>
          <w:shd w:val="clear" w:color="auto" w:fill="FFFFFF"/>
        </w:rPr>
        <w:t xml:space="preserve">Если пользователь вошел в ЛКА при помощи логина и пароля, </w:t>
      </w:r>
      <w:r w:rsidR="002B4993" w:rsidRPr="009E34A6">
        <w:rPr>
          <w:rFonts w:ascii="Open Sans" w:hAnsi="Open Sans" w:cs="Open Sans"/>
          <w:color w:val="333333"/>
          <w:shd w:val="clear" w:color="auto" w:fill="FFFFFF"/>
        </w:rPr>
        <w:t xml:space="preserve">при выборе типа Поручения ему будет предложено пройти дополнительную аутентификацию через ЕСИА. </w:t>
      </w:r>
    </w:p>
    <w:p w:rsidR="00E36FB9" w:rsidRDefault="00E36FB9" w:rsidP="00E36FB9">
      <w:pPr>
        <w:pStyle w:val="a3"/>
        <w:ind w:left="1080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4171950" cy="15140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51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93" w:rsidRPr="009E34A6" w:rsidRDefault="00A415CF" w:rsidP="00E36FB9">
      <w:pPr>
        <w:pStyle w:val="a3"/>
        <w:ind w:left="1080"/>
        <w:rPr>
          <w:rFonts w:ascii="Open Sans" w:hAnsi="Open Sans" w:cs="Open Sans"/>
          <w:color w:val="333333"/>
          <w:shd w:val="clear" w:color="auto" w:fill="FFFFFF"/>
        </w:rPr>
      </w:pPr>
      <w:r w:rsidRPr="009E34A6">
        <w:rPr>
          <w:rFonts w:ascii="Open Sans" w:hAnsi="Open Sans" w:cs="Open Sans"/>
          <w:color w:val="333333"/>
          <w:shd w:val="clear" w:color="auto" w:fill="FFFFFF"/>
        </w:rPr>
        <w:t xml:space="preserve">При согласии </w:t>
      </w:r>
      <w:r w:rsidR="00E36FB9">
        <w:rPr>
          <w:rFonts w:ascii="Open Sans" w:hAnsi="Open Sans" w:cs="Open Sans"/>
          <w:color w:val="333333"/>
          <w:shd w:val="clear" w:color="auto" w:fill="FFFFFF"/>
        </w:rPr>
        <w:t xml:space="preserve">(нажал «Продолжить») </w:t>
      </w:r>
      <w:r w:rsidRPr="009E34A6">
        <w:rPr>
          <w:rFonts w:ascii="Open Sans" w:hAnsi="Open Sans" w:cs="Open Sans"/>
          <w:color w:val="333333"/>
          <w:shd w:val="clear" w:color="auto" w:fill="FFFFFF"/>
        </w:rPr>
        <w:t>он будет переведен на портал Госуслуг, где ему необходимо ввести логин и пароль в ЕСИА.</w:t>
      </w:r>
    </w:p>
    <w:p w:rsidR="002B4993" w:rsidRDefault="002B4993" w:rsidP="009E34A6">
      <w:pPr>
        <w:pStyle w:val="a3"/>
        <w:ind w:left="2832" w:hanging="1752"/>
        <w:rPr>
          <w:rFonts w:ascii="Open Sans" w:hAnsi="Open Sans" w:cs="Open Sans"/>
          <w:color w:val="333333"/>
          <w:shd w:val="clear" w:color="auto" w:fill="FFFFFF"/>
        </w:rPr>
      </w:pPr>
      <w:r w:rsidRPr="009E34A6">
        <w:rPr>
          <w:rFonts w:ascii="Open Sans" w:hAnsi="Open Sans" w:cs="Open Sans"/>
          <w:b/>
          <w:color w:val="333333"/>
          <w:shd w:val="clear" w:color="auto" w:fill="FFFFFF"/>
        </w:rPr>
        <w:t>ОБЯЗАТЕЛЬНО</w:t>
      </w:r>
      <w:r>
        <w:rPr>
          <w:rFonts w:ascii="Open Sans" w:hAnsi="Open Sans" w:cs="Open Sans"/>
          <w:color w:val="333333"/>
          <w:shd w:val="clear" w:color="auto" w:fill="FFFFFF"/>
        </w:rPr>
        <w:t xml:space="preserve">: </w:t>
      </w:r>
      <w:r w:rsidR="00A415CF">
        <w:rPr>
          <w:rFonts w:ascii="Open Sans" w:hAnsi="Open Sans" w:cs="Open Sans"/>
          <w:color w:val="333333"/>
          <w:shd w:val="clear" w:color="auto" w:fill="FFFFFF"/>
        </w:rPr>
        <w:tab/>
      </w:r>
      <w:r>
        <w:rPr>
          <w:rFonts w:ascii="Open Sans" w:hAnsi="Open Sans" w:cs="Open Sans"/>
          <w:color w:val="333333"/>
          <w:shd w:val="clear" w:color="auto" w:fill="FFFFFF"/>
        </w:rPr>
        <w:t>пользователь должен иметь ПОДТВЕРЖДЕННУЮ учетную запись на портале Госуслуг, в противном случае дополнительная аутентификация и пользование сервисом будут недоступны.</w:t>
      </w:r>
    </w:p>
    <w:p w:rsidR="009E34A6" w:rsidRDefault="002B4993" w:rsidP="002B4993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 w:rsidRPr="009E34A6">
        <w:rPr>
          <w:rFonts w:ascii="Open Sans" w:hAnsi="Open Sans" w:cs="Open Sans"/>
          <w:b/>
          <w:i/>
          <w:color w:val="333333"/>
          <w:shd w:val="clear" w:color="auto" w:fill="FFFFFF"/>
        </w:rPr>
        <w:t>Как проверить, является ли учетная запись подтвержденной?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</w:p>
    <w:p w:rsidR="00A415CF" w:rsidRDefault="002B4993" w:rsidP="002B4993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Для этого нужно</w:t>
      </w:r>
      <w:r w:rsidR="00A415CF">
        <w:rPr>
          <w:rFonts w:ascii="Open Sans" w:hAnsi="Open Sans" w:cs="Open Sans"/>
          <w:color w:val="333333"/>
          <w:shd w:val="clear" w:color="auto" w:fill="FFFFFF"/>
        </w:rPr>
        <w:t>:</w:t>
      </w:r>
    </w:p>
    <w:p w:rsidR="00A415CF" w:rsidRPr="00A415CF" w:rsidRDefault="00A415CF" w:rsidP="00A415CF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Зайдите</w:t>
      </w:r>
      <w:r w:rsidRPr="00A415CF">
        <w:rPr>
          <w:color w:val="1F497D"/>
        </w:rPr>
        <w:t xml:space="preserve"> на портал Госуслуг в личный кабинет</w:t>
      </w:r>
      <w:r>
        <w:rPr>
          <w:color w:val="1F497D"/>
        </w:rPr>
        <w:t>;</w:t>
      </w:r>
    </w:p>
    <w:p w:rsidR="00A415CF" w:rsidRDefault="00A415CF" w:rsidP="00A415CF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Введите</w:t>
      </w:r>
      <w:r w:rsidRPr="00A415CF">
        <w:rPr>
          <w:color w:val="1F497D"/>
        </w:rPr>
        <w:t xml:space="preserve"> логин и пароль</w:t>
      </w:r>
      <w:r>
        <w:rPr>
          <w:color w:val="1F497D"/>
        </w:rPr>
        <w:t>;</w:t>
      </w:r>
    </w:p>
    <w:p w:rsidR="00A415CF" w:rsidRDefault="00A415CF" w:rsidP="00A415CF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Нажмите на поле с Вашей фамилией</w:t>
      </w:r>
    </w:p>
    <w:p w:rsidR="00A415CF" w:rsidRDefault="00A415CF" w:rsidP="00A415CF">
      <w:pPr>
        <w:pStyle w:val="a3"/>
        <w:ind w:left="-284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305550" cy="2940860"/>
            <wp:effectExtent l="19050" t="0" r="0" b="0"/>
            <wp:docPr id="1" name="Рисунок 5" descr="cid:image001.jpg@01D68859.BDC04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1.jpg@01D68859.BDC046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9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CF" w:rsidRDefault="00A415CF" w:rsidP="00A415CF">
      <w:pPr>
        <w:pStyle w:val="a3"/>
        <w:rPr>
          <w:color w:val="1F497D"/>
        </w:rPr>
      </w:pPr>
    </w:p>
    <w:p w:rsidR="00A415CF" w:rsidRDefault="00A415CF" w:rsidP="00A415CF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lastRenderedPageBreak/>
        <w:t xml:space="preserve">В открывшемся окне еще раз нажмите на поле с Вашей фамилией </w:t>
      </w:r>
    </w:p>
    <w:p w:rsidR="00A415CF" w:rsidRDefault="00A415CF" w:rsidP="00A415CF">
      <w:pPr>
        <w:pStyle w:val="a3"/>
        <w:rPr>
          <w:color w:val="1F497D"/>
        </w:rPr>
      </w:pPr>
    </w:p>
    <w:p w:rsidR="00A415CF" w:rsidRDefault="00A415CF" w:rsidP="00A415CF">
      <w:pPr>
        <w:pStyle w:val="a3"/>
        <w:ind w:left="-284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334125" cy="1966644"/>
            <wp:effectExtent l="19050" t="0" r="9525" b="0"/>
            <wp:docPr id="2" name="Рисунок 32" descr="cid:image005.png@01D68859.BBB4B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id:image005.png@01D68859.BBB4BF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CF" w:rsidRDefault="00A415CF" w:rsidP="00A415CF">
      <w:pPr>
        <w:pStyle w:val="a3"/>
        <w:rPr>
          <w:color w:val="1F497D"/>
        </w:rPr>
      </w:pPr>
    </w:p>
    <w:p w:rsidR="00A415CF" w:rsidRDefault="00A415CF" w:rsidP="00A415CF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Убедитесь, что статус учетной записи – </w:t>
      </w:r>
      <w:r w:rsidR="009E34A6">
        <w:rPr>
          <w:color w:val="1F497D"/>
        </w:rPr>
        <w:t>«П</w:t>
      </w:r>
      <w:r>
        <w:rPr>
          <w:color w:val="1F497D"/>
        </w:rPr>
        <w:t>одтвержденная</w:t>
      </w:r>
      <w:r w:rsidR="009E34A6">
        <w:rPr>
          <w:color w:val="1F497D"/>
        </w:rPr>
        <w:t>»</w:t>
      </w:r>
    </w:p>
    <w:p w:rsidR="00A415CF" w:rsidRDefault="00A415CF" w:rsidP="00A415CF">
      <w:pPr>
        <w:pStyle w:val="a3"/>
        <w:rPr>
          <w:color w:val="1F497D"/>
        </w:rPr>
      </w:pPr>
    </w:p>
    <w:p w:rsidR="00A415CF" w:rsidRDefault="00A415CF" w:rsidP="00A415CF">
      <w:pPr>
        <w:pStyle w:val="a3"/>
        <w:ind w:left="-284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5657850" cy="3273580"/>
            <wp:effectExtent l="19050" t="0" r="0" b="0"/>
            <wp:docPr id="3" name="Рисунок 33" descr="cid:image013.png@01D68859.BBB4B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id:image013.png@01D68859.BBB4BF2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CF" w:rsidRDefault="00A415CF" w:rsidP="002B4993">
      <w:pPr>
        <w:pStyle w:val="a3"/>
        <w:rPr>
          <w:rFonts w:ascii="Open Sans" w:hAnsi="Open Sans" w:cs="Open Sans"/>
          <w:color w:val="333333"/>
          <w:shd w:val="clear" w:color="auto" w:fill="FFFFFF"/>
        </w:rPr>
      </w:pPr>
    </w:p>
    <w:p w:rsidR="002B4993" w:rsidRDefault="00D264F4" w:rsidP="009E34A6">
      <w:pPr>
        <w:pStyle w:val="a3"/>
        <w:numPr>
          <w:ilvl w:val="1"/>
          <w:numId w:val="6"/>
        </w:numPr>
        <w:rPr>
          <w:rFonts w:ascii="Open Sans" w:hAnsi="Open Sans" w:cs="Open Sans"/>
          <w:color w:val="333333"/>
          <w:shd w:val="clear" w:color="auto" w:fill="FFFFFF"/>
        </w:rPr>
      </w:pPr>
      <w:r w:rsidRPr="009E34A6">
        <w:rPr>
          <w:rFonts w:ascii="Open Sans" w:hAnsi="Open Sans" w:cs="Open Sans"/>
          <w:color w:val="333333"/>
          <w:shd w:val="clear" w:color="auto" w:fill="FFFFFF"/>
        </w:rPr>
        <w:t>Если пользователь вошел в ЛКА через Госуслуги, то проходить дополнительную аутентификацию не требуется.</w:t>
      </w:r>
    </w:p>
    <w:p w:rsidR="009E34A6" w:rsidRPr="009E34A6" w:rsidRDefault="009E34A6" w:rsidP="009E34A6">
      <w:pPr>
        <w:pStyle w:val="a3"/>
        <w:ind w:left="1080"/>
        <w:rPr>
          <w:rFonts w:ascii="Open Sans" w:hAnsi="Open Sans" w:cs="Open Sans"/>
          <w:color w:val="333333"/>
          <w:shd w:val="clear" w:color="auto" w:fill="FFFFFF"/>
        </w:rPr>
      </w:pPr>
    </w:p>
    <w:p w:rsidR="00D264F4" w:rsidRPr="005002E0" w:rsidRDefault="009E34A6" w:rsidP="000A3550">
      <w:pPr>
        <w:pStyle w:val="a3"/>
        <w:numPr>
          <w:ilvl w:val="0"/>
          <w:numId w:val="6"/>
        </w:numPr>
        <w:rPr>
          <w:rFonts w:ascii="Open Sans" w:hAnsi="Open Sans" w:cs="Open Sans"/>
          <w:b/>
          <w:i/>
          <w:color w:val="333333"/>
          <w:shd w:val="clear" w:color="auto" w:fill="FFFFFF"/>
        </w:rPr>
      </w:pPr>
      <w:r w:rsidRPr="005002E0">
        <w:rPr>
          <w:rFonts w:ascii="Open Sans" w:hAnsi="Open Sans" w:cs="Open Sans"/>
          <w:b/>
          <w:i/>
          <w:color w:val="333333"/>
          <w:shd w:val="clear" w:color="auto" w:fill="FFFFFF"/>
        </w:rPr>
        <w:t xml:space="preserve"> </w:t>
      </w:r>
      <w:r w:rsidR="00BF2482" w:rsidRPr="005002E0">
        <w:rPr>
          <w:rFonts w:ascii="Open Sans" w:hAnsi="Open Sans" w:cs="Open Sans"/>
          <w:b/>
          <w:i/>
          <w:color w:val="333333"/>
          <w:shd w:val="clear" w:color="auto" w:fill="FFFFFF"/>
        </w:rPr>
        <w:t>В каких реестрах доступна выдача Поручений?</w:t>
      </w:r>
    </w:p>
    <w:p w:rsidR="005002E0" w:rsidRDefault="005002E0" w:rsidP="005002E0">
      <w:pPr>
        <w:pStyle w:val="a3"/>
        <w:numPr>
          <w:ilvl w:val="0"/>
          <w:numId w:val="9"/>
        </w:num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Поручения на </w:t>
      </w:r>
      <w:r w:rsidR="00CE2E39">
        <w:rPr>
          <w:rFonts w:ascii="Open Sans" w:hAnsi="Open Sans" w:cs="Open Sans"/>
          <w:color w:val="333333"/>
          <w:shd w:val="clear" w:color="auto" w:fill="FFFFFF"/>
        </w:rPr>
        <w:t>О</w:t>
      </w:r>
      <w:r>
        <w:rPr>
          <w:rFonts w:ascii="Open Sans" w:hAnsi="Open Sans" w:cs="Open Sans"/>
          <w:color w:val="333333"/>
          <w:shd w:val="clear" w:color="auto" w:fill="FFFFFF"/>
        </w:rPr>
        <w:t xml:space="preserve">ткрытие лицевого счета и на </w:t>
      </w:r>
      <w:r w:rsidR="00CE2E39">
        <w:rPr>
          <w:rFonts w:ascii="Open Sans" w:hAnsi="Open Sans" w:cs="Open Sans"/>
          <w:color w:val="333333"/>
          <w:shd w:val="clear" w:color="auto" w:fill="FFFFFF"/>
        </w:rPr>
        <w:t>П</w:t>
      </w:r>
      <w:r>
        <w:rPr>
          <w:rFonts w:ascii="Open Sans" w:hAnsi="Open Sans" w:cs="Open Sans"/>
          <w:color w:val="333333"/>
          <w:shd w:val="clear" w:color="auto" w:fill="FFFFFF"/>
        </w:rPr>
        <w:t>риобретение акций доступны в реестрах акционеров всех эмитентов, обслуживаемых в АО «НРК-Р.О.С.Т.»</w:t>
      </w:r>
    </w:p>
    <w:p w:rsidR="00BF2482" w:rsidRDefault="005002E0" w:rsidP="005002E0">
      <w:pPr>
        <w:pStyle w:val="a3"/>
        <w:numPr>
          <w:ilvl w:val="0"/>
          <w:numId w:val="9"/>
        </w:num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Поручения на </w:t>
      </w:r>
      <w:r w:rsidR="00CE2E39">
        <w:rPr>
          <w:rFonts w:ascii="Open Sans" w:hAnsi="Open Sans" w:cs="Open Sans"/>
          <w:color w:val="333333"/>
          <w:shd w:val="clear" w:color="auto" w:fill="FFFFFF"/>
        </w:rPr>
        <w:t>В</w:t>
      </w:r>
      <w:r>
        <w:rPr>
          <w:rFonts w:ascii="Open Sans" w:hAnsi="Open Sans" w:cs="Open Sans"/>
          <w:color w:val="333333"/>
          <w:shd w:val="clear" w:color="auto" w:fill="FFFFFF"/>
        </w:rPr>
        <w:t xml:space="preserve">несение изменений в реквизиты лицевого счета, </w:t>
      </w:r>
      <w:r w:rsidR="00CE2E39">
        <w:rPr>
          <w:rFonts w:ascii="Open Sans" w:hAnsi="Open Sans" w:cs="Open Sans"/>
          <w:color w:val="333333"/>
          <w:shd w:val="clear" w:color="auto" w:fill="FFFFFF"/>
        </w:rPr>
        <w:t>С</w:t>
      </w:r>
      <w:r>
        <w:rPr>
          <w:rFonts w:ascii="Open Sans" w:hAnsi="Open Sans" w:cs="Open Sans"/>
          <w:color w:val="333333"/>
          <w:shd w:val="clear" w:color="auto" w:fill="FFFFFF"/>
        </w:rPr>
        <w:t xml:space="preserve">писание акций и </w:t>
      </w:r>
      <w:r w:rsidR="00CE2E39">
        <w:rPr>
          <w:rFonts w:ascii="Open Sans" w:hAnsi="Open Sans" w:cs="Open Sans"/>
          <w:color w:val="333333"/>
          <w:shd w:val="clear" w:color="auto" w:fill="FFFFFF"/>
        </w:rPr>
        <w:t>В</w:t>
      </w:r>
      <w:r>
        <w:rPr>
          <w:rFonts w:ascii="Open Sans" w:hAnsi="Open Sans" w:cs="Open Sans"/>
          <w:color w:val="333333"/>
          <w:shd w:val="clear" w:color="auto" w:fill="FFFFFF"/>
        </w:rPr>
        <w:t>ыкуп ценных бумаг доступны только в тех реестрах, в которых у пользователя есть лицевой счет (или портфель акций).</w:t>
      </w:r>
    </w:p>
    <w:p w:rsidR="005002E0" w:rsidRDefault="005002E0" w:rsidP="00BF2482">
      <w:pPr>
        <w:pStyle w:val="a3"/>
        <w:rPr>
          <w:rFonts w:ascii="Open Sans" w:hAnsi="Open Sans" w:cs="Open Sans"/>
          <w:color w:val="333333"/>
          <w:shd w:val="clear" w:color="auto" w:fill="FFFFFF"/>
        </w:rPr>
      </w:pPr>
    </w:p>
    <w:p w:rsidR="009E34A6" w:rsidRPr="005002E0" w:rsidRDefault="009E34A6" w:rsidP="000A3550">
      <w:pPr>
        <w:pStyle w:val="a3"/>
        <w:numPr>
          <w:ilvl w:val="0"/>
          <w:numId w:val="6"/>
        </w:numPr>
        <w:rPr>
          <w:rFonts w:ascii="Open Sans" w:hAnsi="Open Sans" w:cs="Open Sans"/>
          <w:b/>
          <w:i/>
          <w:color w:val="333333"/>
          <w:shd w:val="clear" w:color="auto" w:fill="FFFFFF"/>
        </w:rPr>
      </w:pPr>
      <w:r w:rsidRPr="005002E0">
        <w:rPr>
          <w:rFonts w:ascii="Open Sans" w:hAnsi="Open Sans" w:cs="Open Sans"/>
          <w:b/>
          <w:i/>
          <w:color w:val="333333"/>
          <w:shd w:val="clear" w:color="auto" w:fill="FFFFFF"/>
        </w:rPr>
        <w:t xml:space="preserve"> </w:t>
      </w:r>
      <w:r w:rsidR="005002E0" w:rsidRPr="005002E0">
        <w:rPr>
          <w:rFonts w:ascii="Open Sans" w:hAnsi="Open Sans" w:cs="Open Sans"/>
          <w:b/>
          <w:i/>
          <w:color w:val="333333"/>
          <w:shd w:val="clear" w:color="auto" w:fill="FFFFFF"/>
        </w:rPr>
        <w:t>Доступно ли списание акций на счет брокера?</w:t>
      </w:r>
    </w:p>
    <w:p w:rsidR="009E34A6" w:rsidRDefault="005002E0" w:rsidP="005002E0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Списание акций на счет номинального держателя недоступно. Если у брокера в реестре открыт счет НД – то нет, не доступно.</w:t>
      </w:r>
    </w:p>
    <w:p w:rsidR="005002E0" w:rsidRDefault="005002E0" w:rsidP="005002E0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Доступно только списание акций на счет другого владельца.</w:t>
      </w:r>
    </w:p>
    <w:p w:rsidR="005002E0" w:rsidRDefault="005002E0" w:rsidP="005002E0">
      <w:pPr>
        <w:pStyle w:val="a3"/>
        <w:rPr>
          <w:rFonts w:ascii="Open Sans" w:hAnsi="Open Sans" w:cs="Open Sans"/>
          <w:color w:val="333333"/>
          <w:shd w:val="clear" w:color="auto" w:fill="FFFFFF"/>
        </w:rPr>
      </w:pPr>
    </w:p>
    <w:p w:rsidR="009E34A6" w:rsidRDefault="009E34A6" w:rsidP="000A3550">
      <w:pPr>
        <w:pStyle w:val="a3"/>
        <w:numPr>
          <w:ilvl w:val="0"/>
          <w:numId w:val="6"/>
        </w:numPr>
        <w:rPr>
          <w:rFonts w:ascii="Open Sans" w:hAnsi="Open Sans" w:cs="Open Sans"/>
          <w:b/>
          <w:i/>
          <w:color w:val="333333"/>
          <w:shd w:val="clear" w:color="auto" w:fill="FFFFFF"/>
        </w:rPr>
      </w:pPr>
      <w:r w:rsidRPr="005002E0">
        <w:rPr>
          <w:rFonts w:ascii="Open Sans" w:hAnsi="Open Sans" w:cs="Open Sans"/>
          <w:b/>
          <w:i/>
          <w:color w:val="333333"/>
          <w:shd w:val="clear" w:color="auto" w:fill="FFFFFF"/>
        </w:rPr>
        <w:t xml:space="preserve"> </w:t>
      </w:r>
      <w:r w:rsidR="00A92A3D">
        <w:rPr>
          <w:rFonts w:ascii="Open Sans" w:hAnsi="Open Sans" w:cs="Open Sans"/>
          <w:b/>
          <w:i/>
          <w:color w:val="333333"/>
          <w:shd w:val="clear" w:color="auto" w:fill="FFFFFF"/>
        </w:rPr>
        <w:t>Есть ли ограничения для счетов, открытых онлайн?</w:t>
      </w:r>
    </w:p>
    <w:p w:rsidR="00A92A3D" w:rsidRDefault="00A92A3D" w:rsidP="00A92A3D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 w:rsidRPr="00A92A3D">
        <w:rPr>
          <w:rFonts w:ascii="Open Sans" w:hAnsi="Open Sans" w:cs="Open Sans"/>
          <w:color w:val="333333"/>
          <w:shd w:val="clear" w:color="auto" w:fill="FFFFFF"/>
        </w:rPr>
        <w:t>Да есть:</w:t>
      </w:r>
    </w:p>
    <w:p w:rsidR="00A92A3D" w:rsidRPr="00BB339B" w:rsidRDefault="00A92A3D" w:rsidP="00A92A3D">
      <w:pPr>
        <w:pStyle w:val="2"/>
        <w:numPr>
          <w:ilvl w:val="0"/>
          <w:numId w:val="10"/>
        </w:numPr>
        <w:ind w:left="1843"/>
        <w:rPr>
          <w:color w:val="auto"/>
        </w:rPr>
      </w:pPr>
      <w:r w:rsidRPr="00BB339B">
        <w:rPr>
          <w:color w:val="auto"/>
        </w:rPr>
        <w:lastRenderedPageBreak/>
        <w:t xml:space="preserve">НРК-Р.О.С.Т. не проводит по такому лицевому счету операции, подлежащие обязательному контролю в соответствии со статьей 6 </w:t>
      </w:r>
      <w:hyperlink r:id="rId13" w:history="1">
        <w:r w:rsidRPr="00BB339B">
          <w:rPr>
            <w:color w:val="auto"/>
          </w:rPr>
          <w:t>Федерального закона от 07.08.2001 N 115-ФЗ "О противодействии легализации (отмыванию) доходов, полученных преступным путем, и финансированию терроризма"</w:t>
        </w:r>
      </w:hyperlink>
      <w:r w:rsidRPr="00BB339B">
        <w:rPr>
          <w:color w:val="auto"/>
        </w:rPr>
        <w:t>;</w:t>
      </w:r>
    </w:p>
    <w:p w:rsidR="00A92A3D" w:rsidRPr="00BB339B" w:rsidRDefault="00A92A3D" w:rsidP="00A92A3D">
      <w:pPr>
        <w:pStyle w:val="2"/>
        <w:numPr>
          <w:ilvl w:val="0"/>
          <w:numId w:val="10"/>
        </w:numPr>
        <w:ind w:left="1843"/>
        <w:rPr>
          <w:color w:val="auto"/>
        </w:rPr>
      </w:pPr>
      <w:r w:rsidRPr="00BB339B">
        <w:rPr>
          <w:color w:val="auto"/>
        </w:rPr>
        <w:t xml:space="preserve">НРК-Р.О.С.Т. не проводит по такому лицевому счету иные операции, совершение которых требует не упрощенной, а полной идентификации Пользователя в соответствии с </w:t>
      </w:r>
      <w:hyperlink r:id="rId14" w:history="1">
        <w:r w:rsidRPr="00BB339B">
          <w:rPr>
            <w:color w:val="auto"/>
          </w:rPr>
          <w:t>Федеральным законом от 07.08.2001 N 115-ФЗ "О противодействии легализации (отмыванию) доходов, полученных преступным путем, и финансированию терроризма"</w:t>
        </w:r>
      </w:hyperlink>
      <w:r w:rsidRPr="00BB339B">
        <w:rPr>
          <w:color w:val="auto"/>
        </w:rPr>
        <w:t>;</w:t>
      </w:r>
    </w:p>
    <w:p w:rsidR="00A92A3D" w:rsidRPr="00BB339B" w:rsidRDefault="00A92A3D" w:rsidP="00A92A3D">
      <w:pPr>
        <w:pStyle w:val="2"/>
        <w:numPr>
          <w:ilvl w:val="0"/>
          <w:numId w:val="10"/>
        </w:numPr>
        <w:ind w:left="1843"/>
        <w:rPr>
          <w:color w:val="auto"/>
        </w:rPr>
      </w:pPr>
      <w:r w:rsidRPr="00BB339B">
        <w:rPr>
          <w:color w:val="auto"/>
        </w:rPr>
        <w:t xml:space="preserve">все расчеты по сделкам с ценными бумагами, в связи с которыми проводятся операции по такому лицевому счету, а также оплата услуг НРК-Р.О.С.Т. за проведение операций по такому лицевому счету должны осуществляться исключительно в безналичной форме по счетам, открытым в российской кредитной организации. </w:t>
      </w:r>
    </w:p>
    <w:p w:rsidR="00A92A3D" w:rsidRPr="00A92A3D" w:rsidRDefault="00A92A3D" w:rsidP="00A92A3D">
      <w:pPr>
        <w:pStyle w:val="a3"/>
        <w:rPr>
          <w:rFonts w:ascii="Open Sans" w:hAnsi="Open Sans" w:cs="Open Sans"/>
          <w:color w:val="333333"/>
          <w:shd w:val="clear" w:color="auto" w:fill="FFFFFF"/>
        </w:rPr>
      </w:pPr>
    </w:p>
    <w:p w:rsidR="009E34A6" w:rsidRDefault="001E1A61" w:rsidP="000A3550">
      <w:pPr>
        <w:pStyle w:val="a3"/>
        <w:numPr>
          <w:ilvl w:val="0"/>
          <w:numId w:val="6"/>
        </w:numPr>
        <w:rPr>
          <w:rFonts w:ascii="Open Sans" w:hAnsi="Open Sans" w:cs="Open Sans"/>
          <w:b/>
          <w:i/>
          <w:color w:val="333333"/>
          <w:shd w:val="clear" w:color="auto" w:fill="FFFFFF"/>
        </w:rPr>
      </w:pPr>
      <w:r w:rsidRPr="001E1A61">
        <w:rPr>
          <w:rFonts w:ascii="Open Sans" w:hAnsi="Open Sans" w:cs="Open Sans"/>
          <w:b/>
          <w:i/>
          <w:color w:val="333333"/>
          <w:shd w:val="clear" w:color="auto" w:fill="FFFFFF"/>
        </w:rPr>
        <w:t>Платно или бесплатно?</w:t>
      </w:r>
    </w:p>
    <w:p w:rsidR="001E1A61" w:rsidRDefault="001E1A61" w:rsidP="001E1A61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 w:rsidRPr="001E1A61">
        <w:rPr>
          <w:rFonts w:ascii="Open Sans" w:hAnsi="Open Sans" w:cs="Open Sans"/>
          <w:color w:val="333333"/>
          <w:shd w:val="clear" w:color="auto" w:fill="FFFFFF"/>
        </w:rPr>
        <w:t>Платно</w:t>
      </w:r>
      <w:r>
        <w:rPr>
          <w:rFonts w:ascii="Open Sans" w:hAnsi="Open Sans" w:cs="Open Sans"/>
          <w:color w:val="333333"/>
          <w:shd w:val="clear" w:color="auto" w:fill="FFFFFF"/>
        </w:rPr>
        <w:t>,</w:t>
      </w:r>
      <w:r w:rsidRPr="001E1A61">
        <w:rPr>
          <w:rFonts w:ascii="Open Sans" w:hAnsi="Open Sans" w:cs="Open Sans"/>
          <w:color w:val="333333"/>
          <w:shd w:val="clear" w:color="auto" w:fill="FFFFFF"/>
        </w:rPr>
        <w:t xml:space="preserve"> в соответствии с действующим прейскурантом.</w:t>
      </w:r>
    </w:p>
    <w:p w:rsidR="001E1A61" w:rsidRPr="001E1A61" w:rsidRDefault="001E1A61" w:rsidP="001E1A61">
      <w:pPr>
        <w:pStyle w:val="a3"/>
        <w:rPr>
          <w:rFonts w:ascii="Open Sans" w:hAnsi="Open Sans" w:cs="Open Sans"/>
          <w:color w:val="333333"/>
          <w:shd w:val="clear" w:color="auto" w:fill="FFFFFF"/>
        </w:rPr>
      </w:pPr>
    </w:p>
    <w:p w:rsidR="009E34A6" w:rsidRPr="005A2E7E" w:rsidRDefault="001E1A61" w:rsidP="000A3550">
      <w:pPr>
        <w:pStyle w:val="a3"/>
        <w:numPr>
          <w:ilvl w:val="0"/>
          <w:numId w:val="6"/>
        </w:numPr>
        <w:rPr>
          <w:rFonts w:ascii="Open Sans" w:hAnsi="Open Sans" w:cs="Open Sans"/>
          <w:b/>
          <w:i/>
          <w:color w:val="333333"/>
          <w:shd w:val="clear" w:color="auto" w:fill="FFFFFF"/>
        </w:rPr>
      </w:pPr>
      <w:r w:rsidRPr="005A2E7E">
        <w:rPr>
          <w:rFonts w:ascii="Open Sans" w:hAnsi="Open Sans" w:cs="Open Sans"/>
          <w:b/>
          <w:i/>
          <w:color w:val="333333"/>
          <w:shd w:val="clear" w:color="auto" w:fill="FFFFFF"/>
        </w:rPr>
        <w:t>Как получить счет</w:t>
      </w:r>
      <w:r w:rsidR="00FC15E4" w:rsidRPr="005A2E7E">
        <w:rPr>
          <w:rFonts w:ascii="Open Sans" w:hAnsi="Open Sans" w:cs="Open Sans"/>
          <w:b/>
          <w:i/>
          <w:color w:val="333333"/>
          <w:shd w:val="clear" w:color="auto" w:fill="FFFFFF"/>
        </w:rPr>
        <w:t xml:space="preserve"> на оплату Поручения</w:t>
      </w:r>
      <w:r w:rsidRPr="005A2E7E">
        <w:rPr>
          <w:rFonts w:ascii="Open Sans" w:hAnsi="Open Sans" w:cs="Open Sans"/>
          <w:b/>
          <w:i/>
          <w:color w:val="333333"/>
          <w:shd w:val="clear" w:color="auto" w:fill="FFFFFF"/>
        </w:rPr>
        <w:t>?</w:t>
      </w:r>
    </w:p>
    <w:p w:rsidR="001E1A61" w:rsidRDefault="005A2E7E" w:rsidP="001E1A61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В таблице со списком поданных Поручений данному Поручению будет присвоен статус «</w:t>
      </w:r>
      <w:proofErr w:type="gramStart"/>
      <w:r w:rsidRPr="005A2E7E">
        <w:rPr>
          <w:rFonts w:ascii="Open Sans" w:hAnsi="Open Sans" w:cs="Open Sans"/>
          <w:color w:val="333333"/>
          <w:shd w:val="clear" w:color="auto" w:fill="FFFFFF"/>
        </w:rPr>
        <w:t>выставлен счет/подтвержден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» и в колонке «Счет» после выставления счета Регистратором появится ссылка для скачивания счета.</w:t>
      </w:r>
    </w:p>
    <w:p w:rsidR="001E1A61" w:rsidRDefault="005A2E7E" w:rsidP="005A2E7E">
      <w:pPr>
        <w:pStyle w:val="a3"/>
        <w:ind w:left="-284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6120765" cy="215019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5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7E" w:rsidRDefault="005A2E7E" w:rsidP="005A2E7E">
      <w:pPr>
        <w:pStyle w:val="a3"/>
        <w:ind w:left="-284"/>
        <w:rPr>
          <w:rFonts w:ascii="Open Sans" w:hAnsi="Open Sans" w:cs="Open Sans"/>
          <w:color w:val="333333"/>
          <w:shd w:val="clear" w:color="auto" w:fill="FFFFFF"/>
        </w:rPr>
      </w:pPr>
    </w:p>
    <w:p w:rsidR="001E1A61" w:rsidRPr="005110B1" w:rsidRDefault="001E1A61" w:rsidP="000A3550">
      <w:pPr>
        <w:pStyle w:val="a3"/>
        <w:numPr>
          <w:ilvl w:val="0"/>
          <w:numId w:val="6"/>
        </w:numPr>
        <w:rPr>
          <w:rFonts w:ascii="Open Sans" w:hAnsi="Open Sans" w:cs="Open Sans"/>
          <w:b/>
          <w:i/>
          <w:color w:val="333333"/>
          <w:shd w:val="clear" w:color="auto" w:fill="FFFFFF"/>
        </w:rPr>
      </w:pPr>
      <w:r w:rsidRPr="005110B1">
        <w:rPr>
          <w:rFonts w:ascii="Open Sans" w:hAnsi="Open Sans" w:cs="Open Sans"/>
          <w:b/>
          <w:i/>
          <w:color w:val="333333"/>
          <w:shd w:val="clear" w:color="auto" w:fill="FFFFFF"/>
        </w:rPr>
        <w:t>Как оплатить счет?</w:t>
      </w:r>
    </w:p>
    <w:p w:rsidR="001E1A61" w:rsidRDefault="005110B1" w:rsidP="00946F39">
      <w:pPr>
        <w:pStyle w:val="a3"/>
        <w:numPr>
          <w:ilvl w:val="0"/>
          <w:numId w:val="11"/>
        </w:num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Оплата производится </w:t>
      </w:r>
      <w:r w:rsidR="00946F39">
        <w:rPr>
          <w:rFonts w:ascii="Open Sans" w:hAnsi="Open Sans" w:cs="Open Sans"/>
          <w:color w:val="333333"/>
          <w:shd w:val="clear" w:color="auto" w:fill="FFFFFF"/>
        </w:rPr>
        <w:t xml:space="preserve">в безналичной форме </w:t>
      </w:r>
      <w:r>
        <w:rPr>
          <w:rFonts w:ascii="Open Sans" w:hAnsi="Open Sans" w:cs="Open Sans"/>
          <w:color w:val="333333"/>
          <w:shd w:val="clear" w:color="auto" w:fill="FFFFFF"/>
        </w:rPr>
        <w:t>путем перечисления денежных сре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дств в с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оответствии с реквизитами, указанными в счете.</w:t>
      </w:r>
    </w:p>
    <w:p w:rsidR="001E1A61" w:rsidRDefault="00946F39" w:rsidP="00946F39">
      <w:pPr>
        <w:pStyle w:val="a3"/>
        <w:numPr>
          <w:ilvl w:val="0"/>
          <w:numId w:val="11"/>
        </w:numPr>
        <w:rPr>
          <w:rFonts w:ascii="Open Sans" w:hAnsi="Open Sans" w:cs="Open Sans"/>
          <w:color w:val="333333"/>
          <w:shd w:val="clear" w:color="auto" w:fill="FFFFFF"/>
        </w:rPr>
      </w:pPr>
      <w:r w:rsidRPr="00946F39">
        <w:rPr>
          <w:rFonts w:ascii="Open Sans" w:hAnsi="Open Sans" w:cs="Open Sans"/>
          <w:color w:val="333333"/>
          <w:shd w:val="clear" w:color="auto" w:fill="FFFFFF"/>
        </w:rPr>
        <w:t xml:space="preserve">Оплата за совершение операции открытия в Реестре Пользователю лицевого счета владельца должна производиться </w:t>
      </w:r>
      <w:r>
        <w:rPr>
          <w:rFonts w:ascii="Open Sans" w:hAnsi="Open Sans" w:cs="Open Sans"/>
          <w:color w:val="333333"/>
          <w:shd w:val="clear" w:color="auto" w:fill="FFFFFF"/>
        </w:rPr>
        <w:t xml:space="preserve">только </w:t>
      </w:r>
      <w:r w:rsidRPr="00946F39">
        <w:rPr>
          <w:rFonts w:ascii="Open Sans" w:hAnsi="Open Sans" w:cs="Open Sans"/>
          <w:color w:val="333333"/>
          <w:shd w:val="clear" w:color="auto" w:fill="FFFFFF"/>
        </w:rPr>
        <w:t>с банковского счета этого Пользователя в российской кредитной организации</w:t>
      </w:r>
      <w:r>
        <w:rPr>
          <w:rFonts w:ascii="Open Sans" w:hAnsi="Open Sans" w:cs="Open Sans"/>
          <w:color w:val="333333"/>
          <w:shd w:val="clear" w:color="auto" w:fill="FFFFFF"/>
        </w:rPr>
        <w:t>.</w:t>
      </w:r>
    </w:p>
    <w:p w:rsidR="00946F39" w:rsidRDefault="00946F39" w:rsidP="00946F39">
      <w:pPr>
        <w:pStyle w:val="a3"/>
        <w:numPr>
          <w:ilvl w:val="0"/>
          <w:numId w:val="11"/>
        </w:numPr>
        <w:rPr>
          <w:rFonts w:ascii="Open Sans" w:hAnsi="Open Sans" w:cs="Open Sans"/>
          <w:color w:val="333333"/>
          <w:shd w:val="clear" w:color="auto" w:fill="FFFFFF"/>
        </w:rPr>
      </w:pPr>
      <w:r w:rsidRPr="00946F39">
        <w:rPr>
          <w:rFonts w:ascii="Open Sans" w:hAnsi="Open Sans" w:cs="Open Sans"/>
          <w:color w:val="333333"/>
          <w:shd w:val="clear" w:color="auto" w:fill="FFFFFF"/>
        </w:rPr>
        <w:t>Направляя распоряжение о внесении в реестр владельцев ценных бумаг записи о списании ценных бумаг с лицевого счета зарегистрированного лица, Акционер подтверждает, что расчеты по сделке с ценными бумагами совершаются в безналичной форме по счету, открытому в российской кредитной организации</w:t>
      </w:r>
      <w:r>
        <w:rPr>
          <w:rFonts w:ascii="Open Sans" w:hAnsi="Open Sans" w:cs="Open Sans"/>
          <w:color w:val="333333"/>
          <w:shd w:val="clear" w:color="auto" w:fill="FFFFFF"/>
        </w:rPr>
        <w:t>.</w:t>
      </w:r>
    </w:p>
    <w:p w:rsidR="00946F39" w:rsidRDefault="00946F39" w:rsidP="00946F39">
      <w:pPr>
        <w:pStyle w:val="a3"/>
        <w:ind w:left="1440"/>
        <w:rPr>
          <w:rFonts w:ascii="Open Sans" w:hAnsi="Open Sans" w:cs="Open Sans"/>
          <w:color w:val="333333"/>
          <w:shd w:val="clear" w:color="auto" w:fill="FFFFFF"/>
        </w:rPr>
      </w:pPr>
    </w:p>
    <w:p w:rsidR="001E1A61" w:rsidRPr="005A2E7E" w:rsidRDefault="001E1A61" w:rsidP="000A3550">
      <w:pPr>
        <w:pStyle w:val="a3"/>
        <w:numPr>
          <w:ilvl w:val="0"/>
          <w:numId w:val="6"/>
        </w:numPr>
        <w:rPr>
          <w:rFonts w:ascii="Open Sans" w:hAnsi="Open Sans" w:cs="Open Sans"/>
          <w:b/>
          <w:i/>
          <w:color w:val="333333"/>
          <w:shd w:val="clear" w:color="auto" w:fill="FFFFFF"/>
        </w:rPr>
      </w:pPr>
      <w:r w:rsidRPr="005A2E7E">
        <w:rPr>
          <w:rFonts w:ascii="Open Sans" w:hAnsi="Open Sans" w:cs="Open Sans"/>
          <w:b/>
          <w:i/>
          <w:color w:val="333333"/>
          <w:shd w:val="clear" w:color="auto" w:fill="FFFFFF"/>
        </w:rPr>
        <w:t>Как я узнаю, будет ли выполнено моё Поручение, или мне отказано?</w:t>
      </w:r>
    </w:p>
    <w:p w:rsidR="001E1A61" w:rsidRDefault="005A2E7E" w:rsidP="001E1A61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При </w:t>
      </w:r>
      <w:r w:rsidRPr="005A2E7E">
        <w:rPr>
          <w:rFonts w:ascii="Open Sans" w:hAnsi="Open Sans" w:cs="Open Sans"/>
          <w:b/>
          <w:i/>
          <w:color w:val="333333"/>
          <w:shd w:val="clear" w:color="auto" w:fill="FFFFFF"/>
        </w:rPr>
        <w:t>отказе</w:t>
      </w:r>
      <w:r>
        <w:rPr>
          <w:rFonts w:ascii="Open Sans" w:hAnsi="Open Sans" w:cs="Open Sans"/>
          <w:color w:val="333333"/>
          <w:shd w:val="clear" w:color="auto" w:fill="FFFFFF"/>
        </w:rPr>
        <w:t xml:space="preserve"> в таблице со списком поданных Поручений данному Поручению будет присвоен статус «отклонен» и в колонке «Ссылка» появится ссылка для скачивания сообщения, содержащего причину отказа.</w:t>
      </w:r>
    </w:p>
    <w:p w:rsidR="005A2E7E" w:rsidRDefault="005A2E7E" w:rsidP="001E1A61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lastRenderedPageBreak/>
        <w:t xml:space="preserve">Если поручение </w:t>
      </w:r>
      <w:r w:rsidRPr="005A2E7E">
        <w:rPr>
          <w:rFonts w:ascii="Open Sans" w:hAnsi="Open Sans" w:cs="Open Sans"/>
          <w:b/>
          <w:i/>
          <w:color w:val="333333"/>
          <w:shd w:val="clear" w:color="auto" w:fill="FFFFFF"/>
        </w:rPr>
        <w:t>будет исполнено</w:t>
      </w:r>
      <w:r>
        <w:rPr>
          <w:rFonts w:ascii="Open Sans" w:hAnsi="Open Sans" w:cs="Open Sans"/>
          <w:color w:val="333333"/>
          <w:shd w:val="clear" w:color="auto" w:fill="FFFFFF"/>
        </w:rPr>
        <w:t>, то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 xml:space="preserve"> В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 xml:space="preserve"> таблице со списком поданных Поручений данному Поручению будет присвоен статус «</w:t>
      </w:r>
      <w:r w:rsidRPr="005A2E7E">
        <w:rPr>
          <w:rFonts w:ascii="Open Sans" w:hAnsi="Open Sans" w:cs="Open Sans"/>
          <w:color w:val="333333"/>
          <w:shd w:val="clear" w:color="auto" w:fill="FFFFFF"/>
        </w:rPr>
        <w:t>выставлен счет/подтвержден</w:t>
      </w:r>
      <w:r>
        <w:rPr>
          <w:rFonts w:ascii="Open Sans" w:hAnsi="Open Sans" w:cs="Open Sans"/>
          <w:color w:val="333333"/>
          <w:shd w:val="clear" w:color="auto" w:fill="FFFFFF"/>
        </w:rPr>
        <w:t>» и в колонке «Счет» после выставления счета Регистратором появится ссылка для скачивания счета.</w:t>
      </w:r>
    </w:p>
    <w:p w:rsidR="005A2E7E" w:rsidRPr="001E1A61" w:rsidRDefault="005A2E7E" w:rsidP="001E1A61">
      <w:pPr>
        <w:pStyle w:val="a3"/>
        <w:rPr>
          <w:rFonts w:ascii="Open Sans" w:hAnsi="Open Sans" w:cs="Open Sans"/>
          <w:color w:val="333333"/>
          <w:shd w:val="clear" w:color="auto" w:fill="FFFFFF"/>
        </w:rPr>
      </w:pPr>
    </w:p>
    <w:p w:rsidR="001E1A61" w:rsidRPr="00AC0EAF" w:rsidRDefault="005110B1" w:rsidP="000A3550">
      <w:pPr>
        <w:pStyle w:val="a3"/>
        <w:numPr>
          <w:ilvl w:val="0"/>
          <w:numId w:val="6"/>
        </w:numPr>
        <w:rPr>
          <w:rFonts w:ascii="Open Sans" w:hAnsi="Open Sans" w:cs="Open Sans"/>
          <w:b/>
          <w:i/>
          <w:color w:val="333333"/>
          <w:shd w:val="clear" w:color="auto" w:fill="FFFFFF"/>
        </w:rPr>
      </w:pPr>
      <w:r w:rsidRPr="00AC0EAF">
        <w:rPr>
          <w:rFonts w:ascii="Open Sans" w:hAnsi="Open Sans" w:cs="Open Sans"/>
          <w:b/>
          <w:i/>
          <w:color w:val="333333"/>
          <w:shd w:val="clear" w:color="auto" w:fill="FFFFFF"/>
        </w:rPr>
        <w:t xml:space="preserve">Есть ли ограничения </w:t>
      </w:r>
      <w:proofErr w:type="gramStart"/>
      <w:r w:rsidRPr="00AC0EAF">
        <w:rPr>
          <w:rFonts w:ascii="Open Sans" w:hAnsi="Open Sans" w:cs="Open Sans"/>
          <w:b/>
          <w:i/>
          <w:color w:val="333333"/>
          <w:shd w:val="clear" w:color="auto" w:fill="FFFFFF"/>
        </w:rPr>
        <w:t>на</w:t>
      </w:r>
      <w:proofErr w:type="gramEnd"/>
      <w:r w:rsidRPr="00AC0EAF">
        <w:rPr>
          <w:rFonts w:ascii="Open Sans" w:hAnsi="Open Sans" w:cs="Open Sans"/>
          <w:b/>
          <w:i/>
          <w:color w:val="333333"/>
          <w:shd w:val="clear" w:color="auto" w:fill="FFFFFF"/>
        </w:rPr>
        <w:t xml:space="preserve"> проводимые </w:t>
      </w:r>
      <w:r w:rsidR="00AC0EAF">
        <w:rPr>
          <w:rFonts w:ascii="Open Sans" w:hAnsi="Open Sans" w:cs="Open Sans"/>
          <w:b/>
          <w:i/>
          <w:color w:val="333333"/>
          <w:shd w:val="clear" w:color="auto" w:fill="FFFFFF"/>
        </w:rPr>
        <w:t>онлайн-</w:t>
      </w:r>
      <w:r w:rsidRPr="00AC0EAF">
        <w:rPr>
          <w:rFonts w:ascii="Open Sans" w:hAnsi="Open Sans" w:cs="Open Sans"/>
          <w:b/>
          <w:i/>
          <w:color w:val="333333"/>
          <w:shd w:val="clear" w:color="auto" w:fill="FFFFFF"/>
        </w:rPr>
        <w:t>операции?</w:t>
      </w:r>
    </w:p>
    <w:p w:rsidR="005110B1" w:rsidRDefault="005110B1" w:rsidP="005110B1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Да, есть:</w:t>
      </w:r>
    </w:p>
    <w:p w:rsidR="005110B1" w:rsidRPr="00BB339B" w:rsidRDefault="005110B1" w:rsidP="005110B1">
      <w:pPr>
        <w:pStyle w:val="2"/>
        <w:widowControl w:val="0"/>
        <w:numPr>
          <w:ilvl w:val="0"/>
          <w:numId w:val="10"/>
        </w:numPr>
        <w:ind w:left="1843" w:hanging="357"/>
        <w:rPr>
          <w:color w:val="auto"/>
        </w:rPr>
      </w:pPr>
      <w:r w:rsidRPr="00BB339B">
        <w:rPr>
          <w:color w:val="auto"/>
        </w:rPr>
        <w:t xml:space="preserve">в анкете зарегистрированного лица, предназначенной для </w:t>
      </w:r>
      <w:r w:rsidRPr="00AC0EAF">
        <w:rPr>
          <w:b/>
          <w:color w:val="auto"/>
          <w:u w:val="single"/>
        </w:rPr>
        <w:t>внесения изменений в информацию лицевого</w:t>
      </w:r>
      <w:r w:rsidRPr="00BB339B">
        <w:rPr>
          <w:color w:val="auto"/>
        </w:rPr>
        <w:t xml:space="preserve"> счета Акционера, не должны содержаться данные паспорта гражданина РФ или иного документа, удостоверяющего личность Акционера, отличные от данных его лицевого счета в Реестре,</w:t>
      </w:r>
    </w:p>
    <w:p w:rsidR="005110B1" w:rsidRPr="00BB339B" w:rsidRDefault="005110B1" w:rsidP="005110B1">
      <w:pPr>
        <w:pStyle w:val="2"/>
        <w:widowControl w:val="0"/>
        <w:numPr>
          <w:ilvl w:val="0"/>
          <w:numId w:val="10"/>
        </w:numPr>
        <w:ind w:left="1843" w:hanging="357"/>
        <w:rPr>
          <w:color w:val="auto"/>
        </w:rPr>
      </w:pPr>
      <w:proofErr w:type="gramStart"/>
      <w:r w:rsidRPr="00AC0EAF">
        <w:rPr>
          <w:b/>
          <w:color w:val="auto"/>
          <w:u w:val="single"/>
        </w:rPr>
        <w:t>изменения в информацию лицевого счета</w:t>
      </w:r>
      <w:r w:rsidRPr="00BB339B">
        <w:rPr>
          <w:color w:val="auto"/>
        </w:rPr>
        <w:t xml:space="preserve"> Акционера не вносятся, если совокупная стоимость всех ценных бумаг, учитываемых на его лицевом счете, равна или превышает 600 000 (Шестьсот тысяч) рублей</w:t>
      </w:r>
      <w:r>
        <w:rPr>
          <w:color w:val="auto"/>
        </w:rPr>
        <w:t xml:space="preserve"> </w:t>
      </w:r>
      <w:r w:rsidRPr="003C7748">
        <w:rPr>
          <w:color w:val="00B050"/>
        </w:rPr>
        <w:t>или составляет не менее 1% общего количества размещенных ценных бумаг соответствующего эмитента;</w:t>
      </w:r>
      <w:proofErr w:type="gramEnd"/>
    </w:p>
    <w:p w:rsidR="005110B1" w:rsidRDefault="005110B1" w:rsidP="005110B1">
      <w:pPr>
        <w:pStyle w:val="2"/>
        <w:numPr>
          <w:ilvl w:val="0"/>
          <w:numId w:val="10"/>
        </w:numPr>
        <w:ind w:left="1843"/>
        <w:rPr>
          <w:color w:val="auto"/>
        </w:rPr>
      </w:pPr>
      <w:r w:rsidRPr="00AC0EAF">
        <w:rPr>
          <w:b/>
          <w:color w:val="auto"/>
          <w:u w:val="single"/>
        </w:rPr>
        <w:t>списание ценных бумаг</w:t>
      </w:r>
      <w:r w:rsidRPr="003C7748">
        <w:rPr>
          <w:color w:val="auto"/>
        </w:rPr>
        <w:t xml:space="preserve"> не осуществляется, если совокупная стоимость передаваемых ценных бумаг равна или превышает 600 000 (Шестьсот тысяч) рублей, </w:t>
      </w:r>
      <w:r w:rsidRPr="003C7748">
        <w:rPr>
          <w:color w:val="00B050"/>
        </w:rPr>
        <w:t>или составляет не менее 1% общего количества размещенных ценных бумаг соответствующего эмитента;</w:t>
      </w:r>
      <w:r w:rsidRPr="00BB339B" w:rsidDel="003C7748">
        <w:rPr>
          <w:color w:val="auto"/>
        </w:rPr>
        <w:t xml:space="preserve"> </w:t>
      </w:r>
    </w:p>
    <w:p w:rsidR="005110B1" w:rsidRPr="003C7748" w:rsidRDefault="005110B1" w:rsidP="005110B1">
      <w:pPr>
        <w:pStyle w:val="2"/>
        <w:numPr>
          <w:ilvl w:val="0"/>
          <w:numId w:val="10"/>
        </w:numPr>
        <w:ind w:left="1843"/>
        <w:rPr>
          <w:color w:val="00B050"/>
        </w:rPr>
      </w:pPr>
      <w:r w:rsidRPr="00AC0EAF">
        <w:rPr>
          <w:b/>
          <w:color w:val="auto"/>
          <w:u w:val="single"/>
        </w:rPr>
        <w:t>списание ценных бумаг</w:t>
      </w:r>
      <w:r w:rsidRPr="003C7748">
        <w:rPr>
          <w:color w:val="auto"/>
        </w:rPr>
        <w:t xml:space="preserve"> не осуществляется, если совокупная стоимость передаваемых ценных бумаг с учетом ценных бумаг переданных в течение одного месяца, предшествующего подаче распоряжения, равна или превышает 600 000 (Шестьсот тысяч) рублей </w:t>
      </w:r>
      <w:r w:rsidRPr="003C7748">
        <w:rPr>
          <w:color w:val="00B050"/>
        </w:rPr>
        <w:t>или составляет не менее 1% общего количества размещенных ценных бумаг соответствующего эмитента;</w:t>
      </w:r>
    </w:p>
    <w:p w:rsidR="005110B1" w:rsidRPr="008D1C1B" w:rsidRDefault="005110B1" w:rsidP="005110B1">
      <w:pPr>
        <w:pStyle w:val="2"/>
        <w:numPr>
          <w:ilvl w:val="0"/>
          <w:numId w:val="10"/>
        </w:numPr>
        <w:ind w:left="1843"/>
        <w:rPr>
          <w:color w:val="auto"/>
        </w:rPr>
      </w:pPr>
      <w:r w:rsidRPr="00AC0EAF">
        <w:rPr>
          <w:b/>
          <w:color w:val="auto"/>
          <w:u w:val="single"/>
        </w:rPr>
        <w:t>списание ценных бумаг</w:t>
      </w:r>
      <w:r w:rsidRPr="00BB339B">
        <w:rPr>
          <w:color w:val="auto"/>
        </w:rPr>
        <w:t xml:space="preserve"> на лицевой счет номинального держателя или номинального держателя центрального депозитария</w:t>
      </w:r>
      <w:r w:rsidRPr="008D1C1B">
        <w:rPr>
          <w:color w:val="auto"/>
        </w:rPr>
        <w:t>.</w:t>
      </w:r>
    </w:p>
    <w:p w:rsidR="001E1A61" w:rsidRPr="001E1A61" w:rsidRDefault="001E1A61" w:rsidP="001E1A61">
      <w:pPr>
        <w:pStyle w:val="a3"/>
        <w:rPr>
          <w:rFonts w:ascii="Open Sans" w:hAnsi="Open Sans" w:cs="Open Sans"/>
          <w:color w:val="333333"/>
          <w:shd w:val="clear" w:color="auto" w:fill="FFFFFF"/>
        </w:rPr>
      </w:pPr>
    </w:p>
    <w:p w:rsidR="001E1A61" w:rsidRDefault="001E1A61" w:rsidP="00736E31">
      <w:pPr>
        <w:pStyle w:val="a3"/>
        <w:rPr>
          <w:rFonts w:ascii="Open Sans" w:hAnsi="Open Sans" w:cs="Open Sans"/>
          <w:color w:val="333333"/>
          <w:shd w:val="clear" w:color="auto" w:fill="FFFFFF"/>
        </w:rPr>
      </w:pPr>
      <w:bookmarkStart w:id="0" w:name="_GoBack"/>
      <w:bookmarkEnd w:id="0"/>
    </w:p>
    <w:sectPr w:rsidR="001E1A61" w:rsidSect="00A415C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C9A"/>
    <w:multiLevelType w:val="hybridMultilevel"/>
    <w:tmpl w:val="D4507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141A6"/>
    <w:multiLevelType w:val="multilevel"/>
    <w:tmpl w:val="990E3ECE"/>
    <w:lvl w:ilvl="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2">
    <w:nsid w:val="2157314C"/>
    <w:multiLevelType w:val="multilevel"/>
    <w:tmpl w:val="2E62D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5635B9"/>
    <w:multiLevelType w:val="hybridMultilevel"/>
    <w:tmpl w:val="42982BCE"/>
    <w:lvl w:ilvl="0" w:tplc="44AA96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0598"/>
    <w:multiLevelType w:val="hybridMultilevel"/>
    <w:tmpl w:val="824E6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252768"/>
    <w:multiLevelType w:val="hybridMultilevel"/>
    <w:tmpl w:val="AB06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80A76"/>
    <w:multiLevelType w:val="hybridMultilevel"/>
    <w:tmpl w:val="E5744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7D38DB"/>
    <w:multiLevelType w:val="multilevel"/>
    <w:tmpl w:val="C09E22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F202A3F"/>
    <w:multiLevelType w:val="hybridMultilevel"/>
    <w:tmpl w:val="D2E8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A68A0"/>
    <w:multiLevelType w:val="multilevel"/>
    <w:tmpl w:val="43E87F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z w:val="20"/>
        <w:szCs w:val="20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7E74E2B"/>
    <w:multiLevelType w:val="multilevel"/>
    <w:tmpl w:val="20129D50"/>
    <w:lvl w:ilvl="0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AA"/>
    <w:rsid w:val="000A3550"/>
    <w:rsid w:val="00174585"/>
    <w:rsid w:val="001C7174"/>
    <w:rsid w:val="001E1A61"/>
    <w:rsid w:val="002B4993"/>
    <w:rsid w:val="002F6B79"/>
    <w:rsid w:val="005002E0"/>
    <w:rsid w:val="005110B1"/>
    <w:rsid w:val="00546B00"/>
    <w:rsid w:val="005A2E7E"/>
    <w:rsid w:val="00613666"/>
    <w:rsid w:val="00736E31"/>
    <w:rsid w:val="007F04D3"/>
    <w:rsid w:val="00811BF3"/>
    <w:rsid w:val="008C7E08"/>
    <w:rsid w:val="008F3AAA"/>
    <w:rsid w:val="00946F39"/>
    <w:rsid w:val="009A20CD"/>
    <w:rsid w:val="009E34A6"/>
    <w:rsid w:val="00A415CF"/>
    <w:rsid w:val="00A92A3D"/>
    <w:rsid w:val="00AC0EAF"/>
    <w:rsid w:val="00B86AAB"/>
    <w:rsid w:val="00BB5116"/>
    <w:rsid w:val="00BF2482"/>
    <w:rsid w:val="00CE2E39"/>
    <w:rsid w:val="00D264F4"/>
    <w:rsid w:val="00D66C83"/>
    <w:rsid w:val="00DE681E"/>
    <w:rsid w:val="00E27F80"/>
    <w:rsid w:val="00E36FB9"/>
    <w:rsid w:val="00E76A76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3"/>
  </w:style>
  <w:style w:type="paragraph" w:styleId="1">
    <w:name w:val="heading 1"/>
    <w:basedOn w:val="a"/>
    <w:link w:val="10"/>
    <w:uiPriority w:val="99"/>
    <w:qFormat/>
    <w:rsid w:val="008F3AAA"/>
    <w:pPr>
      <w:keepNext/>
      <w:numPr>
        <w:numId w:val="3"/>
      </w:numPr>
      <w:spacing w:before="480" w:after="480" w:line="300" w:lineRule="atLeast"/>
      <w:jc w:val="both"/>
      <w:outlineLvl w:val="0"/>
    </w:pPr>
    <w:rPr>
      <w:rFonts w:ascii="Tahoma" w:eastAsia="Times New Roman" w:hAnsi="Tahoma" w:cs="Times New Roman"/>
      <w:b/>
      <w:caps/>
      <w:kern w:val="2"/>
      <w:sz w:val="20"/>
      <w:szCs w:val="20"/>
      <w:lang w:val="en-GB"/>
    </w:rPr>
  </w:style>
  <w:style w:type="paragraph" w:styleId="2">
    <w:name w:val="heading 2"/>
    <w:basedOn w:val="a"/>
    <w:link w:val="20"/>
    <w:uiPriority w:val="99"/>
    <w:qFormat/>
    <w:rsid w:val="008F3AAA"/>
    <w:pPr>
      <w:numPr>
        <w:ilvl w:val="1"/>
        <w:numId w:val="3"/>
      </w:numPr>
      <w:spacing w:before="280" w:after="120" w:line="240" w:lineRule="auto"/>
      <w:jc w:val="both"/>
      <w:outlineLvl w:val="1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3">
    <w:name w:val="heading 3"/>
    <w:aliases w:val="Level 1 - 1,Заголовок подпукта (1.1.1)"/>
    <w:basedOn w:val="a"/>
    <w:link w:val="30"/>
    <w:uiPriority w:val="99"/>
    <w:qFormat/>
    <w:rsid w:val="008F3AAA"/>
    <w:pPr>
      <w:numPr>
        <w:ilvl w:val="2"/>
        <w:numId w:val="3"/>
      </w:numPr>
      <w:spacing w:before="240" w:after="240" w:line="240" w:lineRule="auto"/>
      <w:jc w:val="both"/>
      <w:outlineLvl w:val="2"/>
    </w:pPr>
    <w:rPr>
      <w:rFonts w:ascii="Tahoma" w:eastAsia="Times New Roman" w:hAnsi="Tahoma" w:cs="Times New Roman"/>
      <w:sz w:val="20"/>
      <w:szCs w:val="20"/>
      <w:lang w:val="en-GB"/>
    </w:rPr>
  </w:style>
  <w:style w:type="paragraph" w:styleId="4">
    <w:name w:val="heading 4"/>
    <w:basedOn w:val="a"/>
    <w:link w:val="40"/>
    <w:uiPriority w:val="99"/>
    <w:qFormat/>
    <w:rsid w:val="008F3AAA"/>
    <w:pPr>
      <w:numPr>
        <w:ilvl w:val="3"/>
        <w:numId w:val="3"/>
      </w:numPr>
      <w:tabs>
        <w:tab w:val="left" w:pos="2261"/>
      </w:tabs>
      <w:spacing w:before="120" w:after="120" w:line="300" w:lineRule="atLeast"/>
      <w:jc w:val="both"/>
      <w:outlineLvl w:val="3"/>
    </w:pPr>
    <w:rPr>
      <w:rFonts w:ascii="Tahoma" w:eastAsia="Times New Roman" w:hAnsi="Tahoma" w:cs="Times New Roman"/>
      <w:sz w:val="20"/>
      <w:szCs w:val="20"/>
      <w:lang w:val="en-GB"/>
    </w:rPr>
  </w:style>
  <w:style w:type="paragraph" w:styleId="5">
    <w:name w:val="heading 5"/>
    <w:aliases w:val="test,Block Label,Level 3 - i,h5,h51,H5,H51,h52"/>
    <w:basedOn w:val="a"/>
    <w:link w:val="50"/>
    <w:uiPriority w:val="99"/>
    <w:qFormat/>
    <w:rsid w:val="008F3AAA"/>
    <w:pPr>
      <w:numPr>
        <w:ilvl w:val="4"/>
        <w:numId w:val="3"/>
      </w:numPr>
      <w:spacing w:before="120" w:after="120" w:line="300" w:lineRule="atLeast"/>
      <w:outlineLvl w:val="4"/>
    </w:pPr>
    <w:rPr>
      <w:rFonts w:ascii="Tahoma" w:eastAsia="Times New Roman" w:hAnsi="Tahoma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3AAA"/>
    <w:rPr>
      <w:rFonts w:ascii="Tahoma" w:eastAsia="Times New Roman" w:hAnsi="Tahoma" w:cs="Times New Roman"/>
      <w:b/>
      <w:caps/>
      <w:kern w:val="2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rsid w:val="008F3AAA"/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aliases w:val="Level 1 - 1 Знак,Заголовок подпукта (1.1.1) Знак"/>
    <w:basedOn w:val="a0"/>
    <w:link w:val="3"/>
    <w:uiPriority w:val="99"/>
    <w:rsid w:val="008F3AAA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9"/>
    <w:rsid w:val="008F3AAA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50">
    <w:name w:val="Заголовок 5 Знак"/>
    <w:aliases w:val="test Знак,Block Label Знак,Level 3 - i Знак,h5 Знак,h51 Знак,H5 Знак,H51 Знак,h52 Знак"/>
    <w:basedOn w:val="a0"/>
    <w:link w:val="5"/>
    <w:uiPriority w:val="99"/>
    <w:rsid w:val="008F3AAA"/>
    <w:rPr>
      <w:rFonts w:ascii="Tahoma" w:eastAsia="Times New Roman" w:hAnsi="Tahoma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4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8859.BDC04690" TargetMode="External"/><Relationship Id="rId13" Type="http://schemas.openxmlformats.org/officeDocument/2006/relationships/hyperlink" Target="http://www.consultant.ru/document/cons_doc_LAW_3283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cid:image013.png@01D68859.BBB4BF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cid:image005.png@01D68859.BBB4B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onsultant.ru/document/cons_doc_LAW_32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derbilov</dc:creator>
  <cp:lastModifiedBy>Сафонова Татьяна Витальевна</cp:lastModifiedBy>
  <cp:revision>3</cp:revision>
  <dcterms:created xsi:type="dcterms:W3CDTF">2020-11-25T09:09:00Z</dcterms:created>
  <dcterms:modified xsi:type="dcterms:W3CDTF">2020-11-27T08:17:00Z</dcterms:modified>
</cp:coreProperties>
</file>